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97" w:rsidRPr="00172197" w:rsidRDefault="00172197" w:rsidP="001520EF">
      <w:pPr>
        <w:rPr>
          <w:rFonts w:asciiTheme="majorHAnsi" w:hAnsiTheme="majorHAnsi" w:cstheme="majorHAnsi"/>
          <w:b/>
          <w:bCs/>
          <w:sz w:val="24"/>
          <w:szCs w:val="24"/>
        </w:rPr>
      </w:pPr>
      <w:r w:rsidRPr="00172197">
        <w:rPr>
          <w:rFonts w:asciiTheme="majorHAnsi" w:hAnsiTheme="majorHAnsi" w:cstheme="majorHAnsi"/>
          <w:b/>
          <w:bCs/>
          <w:sz w:val="24"/>
          <w:szCs w:val="24"/>
        </w:rPr>
        <w:t xml:space="preserve">FSS UTLÅTANDE </w:t>
      </w:r>
      <w:r w:rsidR="00F26DAE">
        <w:rPr>
          <w:rFonts w:asciiTheme="majorHAnsi" w:hAnsiTheme="majorHAnsi" w:cstheme="majorHAnsi"/>
          <w:b/>
          <w:bCs/>
          <w:sz w:val="24"/>
          <w:szCs w:val="24"/>
        </w:rPr>
        <w:t>–</w:t>
      </w:r>
      <w:r w:rsidRPr="00172197">
        <w:rPr>
          <w:rFonts w:asciiTheme="majorHAnsi" w:hAnsiTheme="majorHAnsi" w:cstheme="majorHAnsi"/>
          <w:b/>
          <w:bCs/>
          <w:sz w:val="24"/>
          <w:szCs w:val="24"/>
        </w:rPr>
        <w:t xml:space="preserve"> </w:t>
      </w:r>
      <w:r w:rsidR="00F26DAE">
        <w:rPr>
          <w:rFonts w:asciiTheme="majorHAnsi" w:hAnsiTheme="majorHAnsi" w:cstheme="majorHAnsi"/>
          <w:b/>
          <w:bCs/>
          <w:sz w:val="24"/>
          <w:szCs w:val="24"/>
        </w:rPr>
        <w:t>25.9 2020</w:t>
      </w:r>
      <w:bookmarkStart w:id="0" w:name="_GoBack"/>
      <w:bookmarkEnd w:id="0"/>
    </w:p>
    <w:p w:rsidR="00172197" w:rsidRDefault="00172197"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1.</w:t>
      </w:r>
      <w:r w:rsidRPr="00DD387B">
        <w:rPr>
          <w:rFonts w:asciiTheme="majorHAnsi" w:hAnsiTheme="majorHAnsi" w:cstheme="majorHAnsi"/>
          <w:sz w:val="24"/>
          <w:szCs w:val="24"/>
        </w:rPr>
        <w:tab/>
      </w:r>
      <w:r w:rsidRPr="00DD387B">
        <w:rPr>
          <w:rFonts w:asciiTheme="majorHAnsi" w:hAnsiTheme="majorHAnsi" w:cstheme="majorHAnsi"/>
          <w:b/>
          <w:bCs/>
          <w:sz w:val="24"/>
          <w:szCs w:val="24"/>
        </w:rPr>
        <w:t>Kan man genom propositionen minska hälso- och välfärdsskillnaderna bland befolkningen och göra tillgången till tjänster mer jämlik? Om inte, hur borde förslaget ändras i det avseendet?</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Propositionen kan ha en positiv inverkan på tillgången till tjänster om man i tillräcklig mån beaktar behoven hos dem som har svenska som modersmål och har en funktionsnedsättning eller psykisk ohälsa. Det förutsätter att man i praktiken tryggar tillräcklig makt och resurser till organen som övervakar och tryggar den svenska servicen. I propositionen är detta inte i tillräcklig mån tryggat</w:t>
      </w:r>
      <w:r w:rsidR="00DD387B">
        <w:rPr>
          <w:rFonts w:asciiTheme="majorHAnsi" w:hAnsiTheme="majorHAnsi" w:cstheme="majorHAnsi"/>
          <w:sz w:val="24"/>
          <w:szCs w:val="24"/>
        </w:rPr>
        <w:t>.</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I nuläget varierar tillgången till och kvaliteten på servicen för svenskspråkiga personer med funktionsnedsättning stort i olika kommuner, och kommuninvånarna är således inte i en jämlik ställning. Tjänstekvaliteten och likabehandlingen kan främjas i och med de planerade större anordnarna men det förutsätter att man stärker och utvecklar serviceanordnarnas och de yrkesutbildade personernas kompetens även på svenska. </w:t>
      </w:r>
    </w:p>
    <w:p w:rsidR="001520EF" w:rsidRPr="00DD387B" w:rsidRDefault="001520EF" w:rsidP="001520EF">
      <w:pPr>
        <w:rPr>
          <w:rFonts w:asciiTheme="majorHAnsi" w:hAnsiTheme="majorHAnsi" w:cstheme="majorHAnsi"/>
          <w:sz w:val="24"/>
          <w:szCs w:val="24"/>
        </w:rPr>
      </w:pP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 xml:space="preserve">En annan viktig jämlikhetsaspekt är de digitala tjänsterna. Det finns mycket bra möjligheter med nya digitala lösningar om det görs tillgängliga för möjligast många, även för personer med </w:t>
      </w:r>
      <w:r w:rsidR="00AB750C" w:rsidRPr="00D10D85">
        <w:rPr>
          <w:rFonts w:asciiTheme="majorHAnsi" w:hAnsiTheme="majorHAnsi" w:cstheme="majorHAnsi"/>
          <w:sz w:val="24"/>
          <w:szCs w:val="24"/>
        </w:rPr>
        <w:t>syn</w:t>
      </w:r>
      <w:r w:rsidRPr="00D10D85">
        <w:rPr>
          <w:rFonts w:asciiTheme="majorHAnsi" w:hAnsiTheme="majorHAnsi" w:cstheme="majorHAnsi"/>
          <w:sz w:val="24"/>
          <w:szCs w:val="24"/>
        </w:rPr>
        <w:t>nedsättning. Det bör även beaktas att alla inte kan ta del av de digitala tjänsterna och för dessa människor måste det finnas andra möjligheter så som närkontakt.</w:t>
      </w:r>
    </w:p>
    <w:p w:rsidR="00172197" w:rsidRPr="00D10D85" w:rsidRDefault="00172197" w:rsidP="001520EF">
      <w:pPr>
        <w:rPr>
          <w:rFonts w:asciiTheme="majorHAnsi" w:hAnsiTheme="majorHAnsi" w:cstheme="majorHAnsi"/>
          <w:sz w:val="24"/>
          <w:szCs w:val="24"/>
        </w:rPr>
      </w:pPr>
      <w:r w:rsidRPr="00D10D85">
        <w:rPr>
          <w:rFonts w:asciiTheme="majorHAnsi" w:hAnsiTheme="majorHAnsi" w:cstheme="majorHAnsi"/>
          <w:sz w:val="24"/>
          <w:szCs w:val="24"/>
        </w:rPr>
        <w:t>De stater som har ratificerat FN:s konvention om rättigheter för personer med funktionsnedsättning har åtagit sig bland annat att förbättra tillgängligheten för tjänster riktade till allmänheten och att främja webbtillgängligheten för personer med funktionsnedsättning. I FN-konventionen fastställs det också att produkter, miljöer, program och tjänster bör utformas så att de kan användas av alla i största möjliga utsträckning utan behov av anpassning eller specialutformning. Sådan universell utformning ska inte utesluta hjälpmedel för enskilda grupper av personer med funktionsnedsättning där så behövs.</w:t>
      </w:r>
    </w:p>
    <w:p w:rsidR="001520EF" w:rsidRPr="00D10D85" w:rsidRDefault="001520EF" w:rsidP="001520EF">
      <w:pPr>
        <w:rPr>
          <w:rFonts w:asciiTheme="majorHAnsi" w:hAnsiTheme="majorHAnsi" w:cstheme="majorHAnsi"/>
          <w:sz w:val="24"/>
          <w:szCs w:val="24"/>
        </w:rPr>
      </w:pPr>
    </w:p>
    <w:p w:rsidR="001520EF" w:rsidRPr="00D10D85" w:rsidRDefault="001520EF" w:rsidP="001520EF">
      <w:pPr>
        <w:rPr>
          <w:rFonts w:asciiTheme="majorHAnsi" w:hAnsiTheme="majorHAnsi" w:cstheme="majorHAnsi"/>
          <w:sz w:val="24"/>
          <w:szCs w:val="24"/>
        </w:rPr>
      </w:pP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2.</w:t>
      </w:r>
      <w:r w:rsidRPr="00D10D85">
        <w:rPr>
          <w:rFonts w:asciiTheme="majorHAnsi" w:hAnsiTheme="majorHAnsi" w:cstheme="majorHAnsi"/>
          <w:sz w:val="24"/>
          <w:szCs w:val="24"/>
        </w:rPr>
        <w:tab/>
      </w:r>
      <w:r w:rsidRPr="00D10D85">
        <w:rPr>
          <w:rFonts w:asciiTheme="majorHAnsi" w:hAnsiTheme="majorHAnsi" w:cstheme="majorHAnsi"/>
          <w:b/>
          <w:bCs/>
          <w:sz w:val="24"/>
          <w:szCs w:val="24"/>
        </w:rPr>
        <w:t>Kan man genom propositionen utveckla tillgången till, enhetligheten och effekten av räddningsväsendets tjänster på nationell, regional och lokal nivå?  Säkerställer propositionen synergifördelarna mellan räddningsväsendets räddningsverksamhet och social- och hälsovårdens akutsjukvård? Om inte, hur borde förslaget utvecklas?</w:t>
      </w:r>
    </w:p>
    <w:p w:rsidR="001520EF" w:rsidRPr="00D10D85"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sz w:val="24"/>
          <w:szCs w:val="24"/>
        </w:rPr>
      </w:pPr>
      <w:r w:rsidRPr="00D10D85">
        <w:rPr>
          <w:rFonts w:asciiTheme="majorHAnsi" w:hAnsiTheme="majorHAnsi" w:cstheme="majorHAnsi"/>
          <w:sz w:val="24"/>
          <w:szCs w:val="24"/>
        </w:rPr>
        <w:lastRenderedPageBreak/>
        <w:t>I en nödsituation framhävs behov</w:t>
      </w:r>
      <w:r w:rsidRPr="00DD387B">
        <w:rPr>
          <w:rFonts w:asciiTheme="majorHAnsi" w:hAnsiTheme="majorHAnsi" w:cstheme="majorHAnsi"/>
          <w:sz w:val="24"/>
          <w:szCs w:val="24"/>
        </w:rPr>
        <w:t xml:space="preserve">et av att tala sitt eget språk extra mycket, därför är det viktigt att alla har möjlighet att kunna använda det andra nationalspråket svenska i kontakten med räddningsväsendet.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Den svenskspråkiga servicen och tillgänglig svenskspråkig information bör fungera på nationell, regional och lokal nivå. Även i vårdlanskapen med en liten andel svenskspråkig befolkning (speciellt Vanda-Kervo och Kymmenedalen) måste de språkliga rättigheterna för den svenskspråkiga befolkningen förverkligas.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Inom räddningsväsendets verksamhet är det förebyggande arbetet grundläggande och mycket viktigt. Inom det förebyggande arbetet är det speciellt viktigt att den information som ges är tillgänglig för alla oberoende av funktionsnedsättning eller språk. Det är även viktigt att informationen är tillräckligt lättförstådd så att alla har lika möjligheter att ta del av den. Därför är det viktigt att olika grupper som behöver särskilt stöd eller som hör till olika språkgrupper görs delaktiga i övningar, planering, utveckling och utbildning av verksamheten. Även FN:s funktionshinderkonvention förpliktar till detta, se exempelvis artikel 4(3) och 8 - 11. På detta sätt kan man i det förebyggande arbetet i tillräcklig mån beakta specialbehov.</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Landskapslagens 32§ om påverkansorganen bör modifieras så att funktionshinderråden kan bevaka och utveckla räddningsväsendets verksamhet, särskilt med tanke på förebyggande arbete, utbildningsinsatser och tillgänglig informationsarbete.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I propositionens 7 § stadgas om räddningsväsendets styrning, planering och utveckling. Inom detta arbete bör personer med funktionsnedsättning och deras bakgrundsorganisationer höras.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I propositionen 9§ stadgas det om räddningsväsendets delegation. I delegationens arbete är det viktigt att det finns representation från funktionshinderfältet i enlighet med FN:s funktionshinderkonvention artikel 4(3). Svenskspråkig representation bör också finnas i delegationen då tillgänglig information och kommunikation är en så grundläggande aspekt inom räddningsväsendets arbete.</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3.</w:t>
      </w:r>
      <w:r w:rsidRPr="00DD387B">
        <w:rPr>
          <w:rFonts w:asciiTheme="majorHAnsi" w:hAnsiTheme="majorHAnsi" w:cstheme="majorHAnsi"/>
          <w:b/>
          <w:bCs/>
          <w:sz w:val="24"/>
          <w:szCs w:val="24"/>
        </w:rPr>
        <w:tab/>
        <w:t>Förverkligas demokratin på ett tillräckligt sätt i propositionen? Om inte, hur kunde demokratin stärkas i propositionen?</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FN:s konventionen om rättigheterna för personer med funktionsnedsättning artikel 4(3) förpliktar konventionsstaterna att trygga delaktighet. Personer med funktionsnedsättning bör ha en verklig möjlighet att delta och involveras i de ärenden som gäller dem. </w:t>
      </w:r>
      <w:r w:rsidR="00172197">
        <w:rPr>
          <w:rFonts w:asciiTheme="majorHAnsi" w:hAnsiTheme="majorHAnsi" w:cstheme="majorHAnsi"/>
          <w:sz w:val="24"/>
          <w:szCs w:val="24"/>
        </w:rPr>
        <w:t>Vi</w:t>
      </w:r>
      <w:r w:rsidRPr="00DD387B">
        <w:rPr>
          <w:rFonts w:asciiTheme="majorHAnsi" w:hAnsiTheme="majorHAnsi" w:cstheme="majorHAnsi"/>
          <w:sz w:val="24"/>
          <w:szCs w:val="24"/>
        </w:rPr>
        <w:t xml:space="preserve"> anser att man i större mån borde beakta dessa förpliktelser i förslaget.</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6. I kapitel 5 i vårdlandskapslagen regleras invånarnas rätt till inflytande i vårdlandskapet. Tryggas rätten till inflytande på ett tillräckligt sätt i propositionen?</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Flerval, svarsalternativen:</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lastRenderedPageBreak/>
        <w:t>ja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huvudsakligen ja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nej</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tar inte ställning</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Vårt svar: huvudsakligen ja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7. I kapitel 8 i vårdlandskapslagen regleras samarbetet mellan vårdlandskapen. Är förslaget ändamålsenligt med tanke på vårdlandskapens verksamhet och samarbetet?</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Flerval, svarsalternativen:</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ja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huvudsakligen ja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nej</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tar inte ställning</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Vårt svar: huvudsakligen ja</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10. Landskapslagens paragrafspecifika ändringsförslag</w:t>
      </w:r>
    </w:p>
    <w:p w:rsidR="001520EF" w:rsidRPr="00DD387B" w:rsidRDefault="00E849D8" w:rsidP="001520EF">
      <w:pPr>
        <w:rPr>
          <w:rFonts w:asciiTheme="majorHAnsi" w:hAnsiTheme="majorHAnsi" w:cstheme="majorHAnsi"/>
          <w:sz w:val="24"/>
          <w:szCs w:val="24"/>
        </w:rPr>
      </w:pPr>
      <w:r w:rsidRPr="00DD387B">
        <w:rPr>
          <w:rFonts w:asciiTheme="majorHAnsi" w:hAnsiTheme="majorHAnsi" w:cstheme="majorHAnsi"/>
          <w:sz w:val="24"/>
          <w:szCs w:val="24"/>
        </w:rPr>
        <w:t>FSS</w:t>
      </w:r>
      <w:r w:rsidR="001520EF" w:rsidRPr="00DD387B">
        <w:rPr>
          <w:rFonts w:asciiTheme="majorHAnsi" w:hAnsiTheme="majorHAnsi" w:cstheme="majorHAnsi"/>
          <w:sz w:val="24"/>
          <w:szCs w:val="24"/>
        </w:rPr>
        <w:t xml:space="preserve"> föreslår som ändring till propositionen om landskapslagen att nationalspråksnämndens ordförande är medlem i vårdlandskapets styrelse.</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11. Övriga fritt formulerade observationen om landskapslagen.</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Nationalspråksnämnden är en del av den helhet i lagförslaget som ska garantera att de språkliga rättigheterna tillvaratas och garanteras i reformen. Nämnden har getts en central uppgift och position i förhållande till detta och är en myndighet som kan utöva offentlig makt och till vilken behörighet kan delegeras. För att uppnå målsättningen med reformen och för att möjliggöra också mer systematisk och kunskapsbaserad utveckling även för den svenskspråkiga servicen räcker det inte med bestämmelserna om nationalspråksnämnd som den nu utformats och samarbetsavtal för de tvåspråkiga landskapen samt stöd för utveckling.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Följande behöver åtminstone beaktas gällande bestämmelsen om nationalspråksnämnder.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Nationalspråksnämnden: Enligt 33§ 1 mom. i förslaget till landskapslag kan medlemmarna till nationalspråksnämnden väljas bland sådana personer som representerar invånarna i vårdlandskapet (landskapet) och som hör till den språkliga minoriteten. Enligt detaljmotiveringarna är det upp till vårdlandskapet att själv besluta om medlemsantalet, sammansättningen och sättet att välja organet. Begränsningarna i kap 10 ska beaktas och här spelar framförallt 74§, 75§ och 77§ en stor roll för valet av medlemmar till nämnden. Av 72 § framgår det att medlemmarna är förtroendevalda som sköter sina uppgifter under </w:t>
      </w:r>
      <w:r w:rsidRPr="00D10D85">
        <w:rPr>
          <w:rFonts w:asciiTheme="majorHAnsi" w:hAnsiTheme="majorHAnsi" w:cstheme="majorHAnsi"/>
          <w:sz w:val="24"/>
          <w:szCs w:val="24"/>
        </w:rPr>
        <w:lastRenderedPageBreak/>
        <w:t xml:space="preserve">tjänsteansvar. Dessa bestämmelser innehåller begränsningar för valbarhet, men däremot innehåller de inga kompetenskrav för medlemmarna, vilket har lämnats för att avgöras av landskapen. Medlemmarna kommer därmed med största sannolikhet att bestå av politiskt förtroendevalda inom vårdlandskapet.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Nämnden ges omfattande uppgifter och en central roll i hur de språkliga rättigheterna och tjänster för landskapets språkliga minoritet ska garanteras, förverkligas och utvecklas. Av detaljmotiveringarna framgår att uppgiftsområdet är detsamma som för de nuvarande minoritetsspråknämnderna inom den specialiserade sjukvården men att de utöver det omfattar alla vårdlandskapets uppgifter.  Detaljmotiveringarna är till största delen en uppräkning av paragrafen förutom att det preciseras att de förslag som nämnden kan ge är avtal om gränsöverskridande samarbete för att tillhandahålla tjänster </w:t>
      </w:r>
      <w:proofErr w:type="gramStart"/>
      <w:r w:rsidRPr="00D10D85">
        <w:rPr>
          <w:rFonts w:asciiTheme="majorHAnsi" w:hAnsiTheme="majorHAnsi" w:cstheme="majorHAnsi"/>
          <w:sz w:val="24"/>
          <w:szCs w:val="24"/>
        </w:rPr>
        <w:t>bl.a.</w:t>
      </w:r>
      <w:proofErr w:type="gramEnd"/>
      <w:r w:rsidRPr="00D10D85">
        <w:rPr>
          <w:rFonts w:asciiTheme="majorHAnsi" w:hAnsiTheme="majorHAnsi" w:cstheme="majorHAnsi"/>
          <w:sz w:val="24"/>
          <w:szCs w:val="24"/>
        </w:rPr>
        <w:t xml:space="preserve"> inom social- och hälsovården.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Enligt lagförslaget skulle därmed landskapen åtminstone till en viss del kunna delegera sina uppgifter till nationalspråksnämnden, exempelvis vårdlandskapens skyldighet att följa och utvärdera social- och hälsovården enligt 27§ i lagen om ordnande. Nämnden ska därmed arbeta för att både den vertikala och horisontella integrationen, samordningen, uppföljningen, utvecklingen samt utbildningen av personalen speciellt med tanke på språkkunskaperna.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Av detaljmotiveringarna framgår det inte hur nämnden skall uppfylla sina uppgifter, vilka krav som det ställs på dem och deras förhållande till andra funktioner och organ som också arbetar med och tar fram underlag samt erbjuder expertis för att målsättningen och det praktiska genomförandet av reformen ska lyckas. </w:t>
      </w:r>
      <w:proofErr w:type="gramStart"/>
      <w:r w:rsidRPr="00D10D85">
        <w:rPr>
          <w:rFonts w:asciiTheme="majorHAnsi" w:hAnsiTheme="majorHAnsi" w:cstheme="majorHAnsi"/>
          <w:sz w:val="24"/>
          <w:szCs w:val="24"/>
        </w:rPr>
        <w:t>Bl.a.</w:t>
      </w:r>
      <w:proofErr w:type="gramEnd"/>
      <w:r w:rsidRPr="00D10D85">
        <w:rPr>
          <w:rFonts w:asciiTheme="majorHAnsi" w:hAnsiTheme="majorHAnsi" w:cstheme="majorHAnsi"/>
          <w:sz w:val="24"/>
          <w:szCs w:val="24"/>
        </w:rPr>
        <w:t xml:space="preserve"> framgår det inte av detaljmotiveringarna om bestämmelsen i 27§ i lagen om ordnande om vårdlandskapens skyldigheter när de följer upp och utvärderar social- och hälsovården också ska gälla för nämnden och därmed i hela beredningsskedet. Ska utgångspunkten i nämndens fullföljande av sina uppgifter vara en tillförlitlig, effektiv och uppdaterad informationsproduktion som är enhetlig och jämförbar på nationell nivå men också inom det tvåspråkiga vårdlandskapet och mellan vårdlandskapen? Inte heller innehåller detaljmotiveringarna till 27§ i lagen om ordnande någon hänvisning till 33§ i landskapslagen. Så som lagförslaget nu ser ut kommer också de utredningar, kartläggningar och uppföljningar som utförs inom minoritetsspråknämnden att ha betydelse för THL:s expertbedömningar (28§ i lag om ordnande</w:t>
      </w:r>
      <w:proofErr w:type="gramStart"/>
      <w:r w:rsidRPr="00D10D85">
        <w:rPr>
          <w:rFonts w:asciiTheme="majorHAnsi" w:hAnsiTheme="majorHAnsi" w:cstheme="majorHAnsi"/>
          <w:sz w:val="24"/>
          <w:szCs w:val="24"/>
        </w:rPr>
        <w:t>).Inte</w:t>
      </w:r>
      <w:proofErr w:type="gramEnd"/>
      <w:r w:rsidRPr="00D10D85">
        <w:rPr>
          <w:rFonts w:asciiTheme="majorHAnsi" w:hAnsiTheme="majorHAnsi" w:cstheme="majorHAnsi"/>
          <w:sz w:val="24"/>
          <w:szCs w:val="24"/>
        </w:rPr>
        <w:t xml:space="preserve"> heller framgår det av lagförslaget hur nationalspråksnämnden och det föreslagna stödet för att utveckla de svensk- och tvåspråkiga tjänsterna förhåller sig till varandra. Har nationalspråksnämnden delvis tagit över de uppgifter som i tidigare lagförslag gavs till utvecklingsverksamheten? En uppgift som kräver en annan utvecklingskompetens och forskningsbaserad verksamhet än vad som nu framgår av lagförslaget. Detta är något som behöver bearbetas och klargöras i lagförslaget. Gällande utvecklingsverksamheten behöver detta korrigeras och stiftas enligt vårt förslag om obligatoriskt samarbetsavtal för utvecklingsverksamheten. </w:t>
      </w:r>
    </w:p>
    <w:p w:rsidR="00E849D8" w:rsidRPr="00D10D85" w:rsidRDefault="00E849D8" w:rsidP="00E849D8">
      <w:pPr>
        <w:rPr>
          <w:rFonts w:asciiTheme="majorHAnsi" w:hAnsiTheme="majorHAnsi" w:cstheme="majorHAnsi"/>
          <w:sz w:val="24"/>
          <w:szCs w:val="24"/>
        </w:rPr>
      </w:pPr>
      <w:r w:rsidRPr="00D10D85">
        <w:rPr>
          <w:rFonts w:asciiTheme="majorHAnsi" w:hAnsiTheme="majorHAnsi" w:cstheme="majorHAnsi"/>
          <w:sz w:val="24"/>
          <w:szCs w:val="24"/>
        </w:rPr>
        <w:t xml:space="preserve">Med tanke på den omfattande och centrala uppgift som getts ett organ som består av förtroendevalda medlemmar behöver bestämmelsen kompletteras med kompetenskrav för åtminstone en del av medlemmarna. Landskapens påverkansorgan som föreslås i 32§ i landskapslagen ges delvis samma uppgifter som nationalspråksnämnden, men samtidigt inte </w:t>
      </w:r>
      <w:r w:rsidRPr="00D10D85">
        <w:rPr>
          <w:rFonts w:asciiTheme="majorHAnsi" w:hAnsiTheme="majorHAnsi" w:cstheme="majorHAnsi"/>
          <w:sz w:val="24"/>
          <w:szCs w:val="24"/>
        </w:rPr>
        <w:lastRenderedPageBreak/>
        <w:t>samma offentliga makt som nationalspråksnämnden. Av 32§ i landskapslagen framgår det att till påverkansorganen kan dessutom väljas andra personer för att säkerställa tillräcklig representation, sakkunskap samt förankring till organisationerna. Samma modell borde införas för nationalspråknämnden för att säkerställa kompetensen inom nämnden men med undantaget att dessa medlemmar inte lyder under tjänsteansvar.</w:t>
      </w:r>
    </w:p>
    <w:p w:rsidR="001520EF" w:rsidRPr="00D10D85" w:rsidRDefault="001520EF" w:rsidP="001520EF">
      <w:pPr>
        <w:rPr>
          <w:rFonts w:asciiTheme="majorHAnsi" w:hAnsiTheme="majorHAnsi" w:cstheme="majorHAnsi"/>
          <w:sz w:val="24"/>
          <w:szCs w:val="24"/>
        </w:rPr>
      </w:pP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32 § om vårdlandskapets påverkansorgan</w:t>
      </w: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 xml:space="preserve">I förslaget föreslås att vårdlandskapsstyrelsen ska inrätta ett råd för personer med funktionsnedsättning för vårdlandskapet för att garantera möjligheterna för personer med funktionsnedsättning att delta och påverka. Det är viktigt att ett sådant råd inrättas. </w:t>
      </w:r>
    </w:p>
    <w:p w:rsidR="001520EF" w:rsidRPr="00D10D85" w:rsidRDefault="00E3180B" w:rsidP="001520EF">
      <w:pPr>
        <w:rPr>
          <w:rFonts w:asciiTheme="majorHAnsi" w:hAnsiTheme="majorHAnsi" w:cstheme="majorHAnsi"/>
          <w:sz w:val="24"/>
          <w:szCs w:val="24"/>
        </w:rPr>
      </w:pPr>
      <w:r w:rsidRPr="00D10D85">
        <w:rPr>
          <w:rFonts w:asciiTheme="majorHAnsi" w:hAnsiTheme="majorHAnsi" w:cstheme="majorHAnsi"/>
          <w:sz w:val="24"/>
          <w:szCs w:val="24"/>
        </w:rPr>
        <w:t>FSS</w:t>
      </w:r>
      <w:r w:rsidR="001520EF" w:rsidRPr="00D10D85">
        <w:rPr>
          <w:rFonts w:asciiTheme="majorHAnsi" w:hAnsiTheme="majorHAnsi" w:cstheme="majorHAnsi"/>
          <w:sz w:val="24"/>
          <w:szCs w:val="24"/>
        </w:rPr>
        <w:t xml:space="preserve"> framtonar vikten av att rådet för personer med funktionsnedsättning har verkliga möjligheter att påverka ärenden som berör dem i enlighet med FN:s konvention om rättigheterna för personer med funktionsnedsättning. </w:t>
      </w: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 xml:space="preserve">Rådet kunde också starkare sammanföras med räddningsväsendet. </w:t>
      </w:r>
    </w:p>
    <w:p w:rsidR="001520EF" w:rsidRPr="00D10D85" w:rsidRDefault="001520EF" w:rsidP="001520EF">
      <w:pPr>
        <w:rPr>
          <w:rFonts w:asciiTheme="majorHAnsi" w:hAnsiTheme="majorHAnsi" w:cstheme="majorHAnsi"/>
          <w:sz w:val="24"/>
          <w:szCs w:val="24"/>
        </w:rPr>
      </w:pPr>
    </w:p>
    <w:p w:rsidR="001520EF" w:rsidRPr="00D10D85" w:rsidRDefault="001520EF" w:rsidP="001520EF">
      <w:pPr>
        <w:rPr>
          <w:rFonts w:asciiTheme="majorHAnsi" w:hAnsiTheme="majorHAnsi" w:cstheme="majorHAnsi"/>
          <w:b/>
          <w:bCs/>
          <w:sz w:val="24"/>
          <w:szCs w:val="24"/>
        </w:rPr>
      </w:pPr>
      <w:r w:rsidRPr="00D10D85">
        <w:rPr>
          <w:rFonts w:asciiTheme="majorHAnsi" w:hAnsiTheme="majorHAnsi" w:cstheme="majorHAnsi"/>
          <w:b/>
          <w:bCs/>
          <w:sz w:val="24"/>
          <w:szCs w:val="24"/>
        </w:rPr>
        <w:t>20. Tryggar bestämmelsen i 37 § tvåspråkiga vårdlandskaps samarbete med avseende på tillgången till svenskspråkiga tjänster</w:t>
      </w:r>
    </w:p>
    <w:p w:rsidR="001520EF" w:rsidRPr="00D10D85"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Bestämmelsen ger goda förutsättningar för vårdlandskapen att trygga tillgången till vissa svenskspråkiga social- och hälsovårdstjänster. Det förutsätter dock att avtalet utformas på ett ändamålsenligt sätt. Största delen av de social- och hälsovårdstjänster som vårdlandskapen ansvarar för att ordna omfattas emellertid inte av avtalet, var med avtalssamarbetet i sig inte är tillräckligt för att trygga tillgången till svenskspråkiga tjänster.</w:t>
      </w:r>
    </w:p>
    <w:p w:rsidR="001520EF" w:rsidRPr="00DD387B" w:rsidRDefault="001520EF" w:rsidP="001520EF">
      <w:pPr>
        <w:rPr>
          <w:rFonts w:asciiTheme="majorHAnsi" w:hAnsiTheme="majorHAnsi" w:cstheme="majorHAnsi"/>
          <w:sz w:val="24"/>
          <w:szCs w:val="24"/>
        </w:rPr>
      </w:pPr>
      <w:r w:rsidRPr="00D10D85">
        <w:rPr>
          <w:rFonts w:asciiTheme="majorHAnsi" w:hAnsiTheme="majorHAnsi" w:cstheme="majorHAnsi"/>
          <w:sz w:val="24"/>
          <w:szCs w:val="24"/>
        </w:rPr>
        <w:t xml:space="preserve">Enligt förslaget till bestämmelsen ska de tvåspråkiga vårdlandskapen avtala om samarbete och arbetsfördelning bland annat gällande olika verksamhetshelheter som Kårkulla samkommun upprätthåller idag. Det är bra att landskapen avtalar om dessa helheter för att säkerställa att klienterna även i fortsättningen har tillgång till motsvarande tjänster </w:t>
      </w:r>
      <w:r w:rsidRPr="00DD387B">
        <w:rPr>
          <w:rFonts w:asciiTheme="majorHAnsi" w:hAnsiTheme="majorHAnsi" w:cstheme="majorHAnsi"/>
          <w:sz w:val="24"/>
          <w:szCs w:val="24"/>
        </w:rPr>
        <w:t>på svenska.</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Enligt förslaget till bestämmelse ska avtalet också omfatta samarbete och arbetsfördelning kring andra tjänster. I nuläget finns det ett stort antal tjänster som på svenska produceras på ett fåtal orter eller en enda ort i hela landet. Det finns också tjänster som inte alls finns att tillgå på svenska. För att dylika tjänster i fortsättningen ska kunna upprätthållas och utvecklas, krävs ett riksomfattande samarbete och att samarbetsavtalen omfattar även dessa.</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Listan på dylika tjänster är levande och ändras med tiden. Därför är det inte ändamålsenligt att nämna tjänsterna i bestämmelsen. Däremot bör det, till exempel i specialmotiveringarna till bestämmelsen, bättre öppnas upp vilka typer av tjänster samarbetet kan handla om. På så sätt är det lättare för vårdlandskapen att avgöra hurudant behov av samarbete de har. I nuvarande utkast till specialmotiveringar nämns endast särskilt krävande tjänster inom missbrukarvården och dygnetruntvården inom barnpsykiatrin. </w:t>
      </w:r>
      <w:r w:rsidR="00E3180B" w:rsidRPr="00DD387B">
        <w:rPr>
          <w:rFonts w:asciiTheme="majorHAnsi" w:hAnsiTheme="majorHAnsi" w:cstheme="majorHAnsi"/>
          <w:sz w:val="24"/>
          <w:szCs w:val="24"/>
        </w:rPr>
        <w:t>B</w:t>
      </w:r>
      <w:r w:rsidRPr="00DD387B">
        <w:rPr>
          <w:rFonts w:asciiTheme="majorHAnsi" w:hAnsiTheme="majorHAnsi" w:cstheme="majorHAnsi"/>
          <w:sz w:val="24"/>
          <w:szCs w:val="24"/>
        </w:rPr>
        <w:t xml:space="preserve">ehovet är mycket mer </w:t>
      </w:r>
      <w:r w:rsidRPr="00DD387B">
        <w:rPr>
          <w:rFonts w:asciiTheme="majorHAnsi" w:hAnsiTheme="majorHAnsi" w:cstheme="majorHAnsi"/>
          <w:sz w:val="24"/>
          <w:szCs w:val="24"/>
        </w:rPr>
        <w:lastRenderedPageBreak/>
        <w:t>omfattande och här ska den expertis som finns inom de tvåspråkiga kommunernas social- och hälsovårdsväsende och inom tredje sektorns organisationer höras.</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Exempel på tjänster:</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Yrkesinriktade och medicinska rehabiliteringskurser, särskilda tjänster för personer med intellektuell funktionsnedsättning, psykiatrisk avdelningsvård dygnet runt, vissa tjänster inom neuropsykiatrin,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högspecialiserad rehabilitering och rådgivning för personer med sällsynta funktionsnedsättningar, audionomtjänster, finlandssvenska teckenspråkstolkar och svenskspråkiga skrivtolkar, multiprofessionellt samarbete kring tjänster och stöd för barn och unga, psykologtjänster, talterapi (logopeder)</w:t>
      </w:r>
      <w:r w:rsidR="00E3180B" w:rsidRPr="00DD387B">
        <w:rPr>
          <w:rFonts w:asciiTheme="majorHAnsi" w:hAnsiTheme="majorHAnsi" w:cstheme="majorHAnsi"/>
          <w:sz w:val="24"/>
          <w:szCs w:val="24"/>
        </w:rPr>
        <w:t xml:space="preserve"> samt medicinsk rehabilitering och yrkesinriktad rehabilitering för personer med synnedsättning”</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Enligt förslaget krävs att samarbetet ska vara oumbärligt och nödvändigt för att det ska ingå i avtalet. Samarbetsavtalet kunde däremot också omfatta olika typer av stödtjänster som vårdlandskapen med fördel kunde samarbeta kring, såsom översättningsverksamhet, telefonrådgivning, skapande av svenskspråkiga blanketter och bottnar för vårdföreskrifter med mera. Samarbetet kunde även omfatta digitala tjänster, som möjliggör att områdenas svenska resurser kan sammankopplas, att information om svenska tjänster kan samordnas och som bidrar till att det blir lättare att få igång samarbete mellan producenter. Samarbetet kunde också omfatta tjänster för personer som bor i gränsregionen mellan två vårdlandskap, om det är ändamålsenligt att skaffa tjänsterna från det andra landskapet.</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Eftersom avtalet endast handlar om vissa typer av tjänster är det emellertid viktigt att också se till den övriga social- och hälsovården när man ser på tillgången till svenskspråkiga tjänster. För att de tvåspråkiga vårdlandskapen på ett bredare plan ska kunna ge service på svenska, krävs också fokus på basservicen och framtidens social- och hälsovårdscentraler. Det är viktigt att dessa fungerar på svenska i alla tvåspråkiga vårdlandskap och att satsningar görs på både det finsk- och svenskspråkiga kunnandet på centralerna. Servicebehovet för alla klientgrupper ska utredas på social- och hälsovårdscentralen, vilket medför behov av tillräcklig sakkunskap både om vilken typ av stöd och service som klienten behöver, men även kunskap om sådana producenter som kan ge tjänster på svenska.</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22. Vilket vårdlandskap borde föreskrivas som ansvarig för att trygga utvecklingen av svenskspråkiga tjänster (31 §) i hela landet?</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Det är viktigt att det finns ett nationellt mandat för stöd för svenskspråkig utveckling av social- och hälsovård. Utkastet till lagförslag innehåller relativt lite reglering av utvecklingsverksamheten som helhet, och det är därför svårt att veta vad det föreslagna uppdraget innebär. Vi utgår från att uppdraget handlar om stöd för vårdlandskapens svenskspråkiga forsknings-, utvecklings- och innovationsverksamhet.</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För att kunna utföra uppdraget att stöda vårdlandskapen i denna typ av verksamhet, är det viktigt att vårdlandskap X känner till särdragen i de svenskspråkiga förhållandena, har kunskap om befolkningens och de professionellas behov och att landskapet har en stark koppling till forskningen. Landskapet behöver därför gedigna relationer till universitet och högskolor med </w:t>
      </w:r>
      <w:r w:rsidRPr="00DD387B">
        <w:rPr>
          <w:rFonts w:asciiTheme="majorHAnsi" w:hAnsiTheme="majorHAnsi" w:cstheme="majorHAnsi"/>
          <w:sz w:val="24"/>
          <w:szCs w:val="24"/>
        </w:rPr>
        <w:lastRenderedPageBreak/>
        <w:t>avseende på utbildning inom medicin, hälsovård och socialvård. Skötseln av uppgiften förutsätter att den är integrerad med motsvarande finskspråkiga verksamhet, så att det finns systematisk växelverkan med de finska funktionerna och för att undvika att utvecklingen på svenska blir isolerad. Kopplingen till ett universitetscentralsjukhus och det regionala samarbetsområdet har också betydelse. För att i praktiken kunna genomföra uppdraget krävs också att vårdlandskapet har möjlighet att mobilisera resurser för uppdraget.</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I utkastet till 37 § i lagen om ordnande av social- och hälsovård nämns också vårdlandskap X, som ska samordna samarbetsavtalet mellan de tvåspråkiga landskapen. Det landskap som ska ha detta uppdrag bör ha åtminstone följande egenskaper: kunskap om särdragen i svenskspråkiga förhållanden, ingående kunskap om ordnande av tvåspråkig service, kunskap om svensk- och tvåspråkiga tjänsteproducenter, kunskap om de servicehelheter och specifika tjänster som idag inte finns att tillgå på svenska i de tvåspråkiga vårdlandskapen samt administrativa resurser för avtalsförhandlingarna.</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Med hänvisning till att uppgifterna i 31 § och 37 § förutsätter många olika egenskaper av det ansvariga vårdlandskapet, anser vi att uppgiften ska fördelas mellan två olika vårdlandskap. </w:t>
      </w:r>
      <w:r w:rsidR="00DD387B" w:rsidRPr="00DD387B">
        <w:rPr>
          <w:rFonts w:asciiTheme="majorHAnsi" w:hAnsiTheme="majorHAnsi" w:cstheme="majorHAnsi"/>
          <w:sz w:val="24"/>
          <w:szCs w:val="24"/>
        </w:rPr>
        <w:t>FSS</w:t>
      </w:r>
      <w:r w:rsidRPr="00DD387B">
        <w:rPr>
          <w:rFonts w:asciiTheme="majorHAnsi" w:hAnsiTheme="majorHAnsi" w:cstheme="majorHAnsi"/>
          <w:sz w:val="24"/>
          <w:szCs w:val="24"/>
        </w:rPr>
        <w:t xml:space="preserve"> föreslår att ansvaret för utvecklandet av den svenska servicen föreskrivs till Helsingfors och ansvaret över samordnandet av samarbetsavtalen föreskrivs till vårdlanskapet Österbotten. </w:t>
      </w:r>
      <w:r w:rsidR="00DD387B" w:rsidRPr="00DD387B">
        <w:rPr>
          <w:rFonts w:asciiTheme="majorHAnsi" w:hAnsiTheme="majorHAnsi" w:cstheme="majorHAnsi"/>
          <w:sz w:val="24"/>
          <w:szCs w:val="24"/>
        </w:rPr>
        <w:t>FSS</w:t>
      </w:r>
      <w:r w:rsidRPr="00DD387B">
        <w:rPr>
          <w:rFonts w:asciiTheme="majorHAnsi" w:hAnsiTheme="majorHAnsi" w:cstheme="majorHAnsi"/>
          <w:sz w:val="24"/>
          <w:szCs w:val="24"/>
        </w:rPr>
        <w:t xml:space="preserve"> anser att dessa två områden har de bästa förutsättningarna att klara av uppgifterna. Uppdelningen av uppgifterna konkretiserar och koncentrerar uppgifterna och underlättar områdena att sköta sina uppgifter väl. En dylik delning av uppgiften förutsätter ett nära och gott samarbete mellan Helsingfors och Österbotten. Helsingfors och Österbotten har olika styrkor var gäller svenskspråkiga frågor och de kompletterar varandra på ett ändamålsenligt sätt.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Om vårdlandskap X föreskrivs endast till ett vårdlandskap anser </w:t>
      </w:r>
      <w:r w:rsidR="00DD387B" w:rsidRPr="00DD387B">
        <w:rPr>
          <w:rFonts w:asciiTheme="majorHAnsi" w:hAnsiTheme="majorHAnsi" w:cstheme="majorHAnsi"/>
          <w:sz w:val="24"/>
          <w:szCs w:val="24"/>
        </w:rPr>
        <w:t>FSS</w:t>
      </w:r>
      <w:r w:rsidRPr="00DD387B">
        <w:rPr>
          <w:rFonts w:asciiTheme="majorHAnsi" w:hAnsiTheme="majorHAnsi" w:cstheme="majorHAnsi"/>
          <w:sz w:val="24"/>
          <w:szCs w:val="24"/>
        </w:rPr>
        <w:t xml:space="preserve"> att uppgiften bör ges till Helsingfors. </w:t>
      </w:r>
    </w:p>
    <w:p w:rsidR="001520EF" w:rsidRPr="00DD387B" w:rsidRDefault="001520EF" w:rsidP="001520EF">
      <w:pPr>
        <w:rPr>
          <w:rFonts w:asciiTheme="majorHAnsi" w:hAnsiTheme="majorHAnsi" w:cstheme="majorHAnsi"/>
          <w:sz w:val="24"/>
          <w:szCs w:val="24"/>
        </w:rPr>
      </w:pP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23. Paragrafspecifika ändringsförslag till lagen om ordnande av social- och hälsovård. ANVISNING: Specificera svaret med avseende på vilken paragraf ändringsförslaget gäller genom att ange paragrafens nummer innan ändringsförslaget. Gör så för varje paragraf som du kommenterar.</w:t>
      </w:r>
    </w:p>
    <w:p w:rsidR="001520EF" w:rsidRPr="00DD387B" w:rsidRDefault="00DD387B" w:rsidP="001520EF">
      <w:pPr>
        <w:rPr>
          <w:rFonts w:asciiTheme="majorHAnsi" w:hAnsiTheme="majorHAnsi" w:cstheme="majorHAnsi"/>
          <w:sz w:val="24"/>
          <w:szCs w:val="24"/>
        </w:rPr>
      </w:pPr>
      <w:r w:rsidRPr="00DD387B">
        <w:rPr>
          <w:rFonts w:asciiTheme="majorHAnsi" w:hAnsiTheme="majorHAnsi" w:cstheme="majorHAnsi"/>
          <w:sz w:val="24"/>
          <w:szCs w:val="24"/>
        </w:rPr>
        <w:t>FSS</w:t>
      </w:r>
      <w:r w:rsidR="001520EF" w:rsidRPr="00DD387B">
        <w:rPr>
          <w:rFonts w:asciiTheme="majorHAnsi" w:hAnsiTheme="majorHAnsi" w:cstheme="majorHAnsi"/>
          <w:sz w:val="24"/>
          <w:szCs w:val="24"/>
        </w:rPr>
        <w:t xml:space="preserve"> föreslår att ansvaret för utvecklandet av den svenska servicen föreskrivs till Helsingfors och ansvaret över samordnandet av samarbetsavtalen föreskrivs till vårdlanskapet Österbotten.</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37. Tryggar sammansättningen av de tillfälliga organen och de lagstadgade uppgifterna verkställandet av reformen (</w:t>
      </w:r>
      <w:proofErr w:type="gramStart"/>
      <w:r w:rsidRPr="00DD387B">
        <w:rPr>
          <w:rFonts w:asciiTheme="majorHAnsi" w:hAnsiTheme="majorHAnsi" w:cstheme="majorHAnsi"/>
          <w:b/>
          <w:bCs/>
          <w:sz w:val="24"/>
          <w:szCs w:val="24"/>
        </w:rPr>
        <w:t>7-8</w:t>
      </w:r>
      <w:proofErr w:type="gramEnd"/>
      <w:r w:rsidRPr="00DD387B">
        <w:rPr>
          <w:rFonts w:asciiTheme="majorHAnsi" w:hAnsiTheme="majorHAnsi" w:cstheme="majorHAnsi"/>
          <w:b/>
          <w:bCs/>
          <w:sz w:val="24"/>
          <w:szCs w:val="24"/>
        </w:rPr>
        <w:t xml:space="preserve">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ja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huvudsakligen ja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huvudsakligen nej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lastRenderedPageBreak/>
        <w:t xml:space="preserve">nej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tar inte ställning</w:t>
      </w:r>
    </w:p>
    <w:p w:rsidR="001520EF" w:rsidRPr="00DD387B" w:rsidRDefault="001520EF" w:rsidP="001520EF">
      <w:pPr>
        <w:rPr>
          <w:rFonts w:asciiTheme="majorHAnsi" w:hAnsiTheme="majorHAnsi" w:cstheme="majorHAnsi"/>
          <w:b/>
          <w:bCs/>
          <w:sz w:val="24"/>
          <w:szCs w:val="24"/>
        </w:rPr>
      </w:pPr>
      <w:r w:rsidRPr="00DD387B">
        <w:rPr>
          <w:rFonts w:asciiTheme="majorHAnsi" w:hAnsiTheme="majorHAnsi" w:cstheme="majorHAnsi"/>
          <w:b/>
          <w:bCs/>
          <w:sz w:val="24"/>
          <w:szCs w:val="24"/>
        </w:rPr>
        <w:t>Fråga 43. Tryggar förslagen om delningen av Kårkullas verksamhet kontinuiteten i dess verksamhet som vårdlandskapens verksamhet?</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Förslaget att dela upp Kårkullas verksamhet mellan de tvåspråkiga landskapen motsvarar syftet med integration av social- och hälsovård, jämlikhet mellan och inkludering av olika klientgrupper. Det förbättrar också klienternas möjligheter att välja tjänsteproducent. </w:t>
      </w:r>
      <w:r w:rsidR="00D10D85">
        <w:rPr>
          <w:rFonts w:asciiTheme="majorHAnsi" w:hAnsiTheme="majorHAnsi" w:cstheme="majorHAnsi"/>
          <w:sz w:val="24"/>
          <w:szCs w:val="24"/>
        </w:rPr>
        <w:t>FSS</w:t>
      </w:r>
      <w:r w:rsidRPr="00DD387B">
        <w:rPr>
          <w:rFonts w:asciiTheme="majorHAnsi" w:hAnsiTheme="majorHAnsi" w:cstheme="majorHAnsi"/>
          <w:sz w:val="24"/>
          <w:szCs w:val="24"/>
        </w:rPr>
        <w:t xml:space="preserve"> stöder förslaget om att Kårkullas verksamhet fördelas mellan de tvåspråkiga landskapen. </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Tanken att bastjänsterna finns i landskapen och att specialtjänster kan köps via avtal är en bra utveckling. Denna utveckling leder troligtvis till att bastjänsterna utvecklas, som i sin tur är en positiv utveckling. </w:t>
      </w:r>
      <w:r w:rsidRPr="00DD387B">
        <w:rPr>
          <w:rFonts w:asciiTheme="majorHAnsi" w:hAnsiTheme="majorHAnsi" w:cstheme="majorHAnsi"/>
          <w:sz w:val="24"/>
          <w:szCs w:val="24"/>
        </w:rPr>
        <w:tab/>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Funktionshinderservicen får inte delas upp enligt diagnos eftersom det strider mot grundtankarna i FN:s konventionen om rättigheter för personer med funktionsnedsättning samt inom regeringens program för avvecklande av institutionsboende och utvecklande av tjänster för personer med intellektuell funktionsnedsättning (KEHAS). Funktionshinderservicen behöver tvärtom breddas och kräver fler producenter så att man har möjlighet att välja tjänsteproducent. Vi anser att förslaget tryggar FN:s funktionshinderkonventionen och KEHAS programmets mål att gå ifrån diagnosbaserad tänkesätt och vi ser detta som en positiv utveckling som vi stöder.</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t xml:space="preserve">Enligt förslaget ska boende- och dag- och arbetscenterverksamhet införlivas i vårdlandskapet på vars område enheterna finns. Av de åtta tvåspråkiga landskapen kommer en del att ta över flera Kårkulla-enheter. </w:t>
      </w:r>
    </w:p>
    <w:p w:rsidR="00DD387B" w:rsidRPr="00D10D85" w:rsidRDefault="00DD387B" w:rsidP="001520EF">
      <w:pPr>
        <w:rPr>
          <w:rFonts w:asciiTheme="majorHAnsi" w:hAnsiTheme="majorHAnsi" w:cstheme="majorHAnsi"/>
          <w:sz w:val="24"/>
          <w:szCs w:val="24"/>
        </w:rPr>
      </w:pPr>
      <w:r w:rsidRPr="00D10D85">
        <w:rPr>
          <w:rFonts w:asciiTheme="majorHAnsi" w:hAnsiTheme="majorHAnsi" w:cstheme="majorHAnsi"/>
          <w:sz w:val="24"/>
          <w:szCs w:val="24"/>
        </w:rPr>
        <w:t xml:space="preserve">Samtidigt behöver också tjänster på svenska för övriga kundgrupper säkerställas och utvecklas för att uppnå och garantera lagreformens mål, de grundläggande rättigheterna och rättigheterna enligt social- och hälsovårdslagstiftningen både inom vårdlandskapen men också genom samarbete över vårdlandskapsgränserna. Jämlikheten mellan de olika svensk- och tvåspråkiga kundgrupperna främjas i och med att rådgivningsverksamheten, servicekartläggningen och det individuella beslutsfattandet på jämlika grunder sköts av respektive landskapen. Här kommer att behövas nationella stödtjänster som delvis kan förverkligas genom obligatorisk samordning av utvecklingsverksamheten, samarbete mellan landskapen och stärkande av THL:s roll att erbjuda expertis, vilket delvis kan förverkligas genom gemensamma tjänster.  Detta gäller också basservicen. Något som nu inte lyfts fram i tillräckligt hög grad i lagförslaget och därmed finns det risk att det ges en felaktig uppfattning om de svenskspråkiga tjänsterna och behovet av dem.  </w:t>
      </w:r>
    </w:p>
    <w:p w:rsidR="00DD387B" w:rsidRPr="00DD387B" w:rsidRDefault="00DD387B" w:rsidP="001520EF">
      <w:pPr>
        <w:rPr>
          <w:rFonts w:asciiTheme="majorHAnsi" w:hAnsiTheme="majorHAnsi" w:cstheme="majorHAnsi"/>
          <w:sz w:val="24"/>
          <w:szCs w:val="24"/>
        </w:rPr>
      </w:pPr>
    </w:p>
    <w:p w:rsidR="001520EF" w:rsidRPr="00172197" w:rsidRDefault="001520EF" w:rsidP="001520EF">
      <w:pPr>
        <w:rPr>
          <w:rFonts w:asciiTheme="majorHAnsi" w:hAnsiTheme="majorHAnsi" w:cstheme="majorHAnsi"/>
          <w:b/>
          <w:bCs/>
          <w:sz w:val="24"/>
          <w:szCs w:val="24"/>
        </w:rPr>
      </w:pPr>
      <w:r w:rsidRPr="00172197">
        <w:rPr>
          <w:rFonts w:asciiTheme="majorHAnsi" w:hAnsiTheme="majorHAnsi" w:cstheme="majorHAnsi"/>
          <w:b/>
          <w:bCs/>
          <w:sz w:val="24"/>
          <w:szCs w:val="24"/>
        </w:rPr>
        <w:t>45. Övriga fritt formulerade observationer om lagen om införande av lag.</w:t>
      </w:r>
    </w:p>
    <w:p w:rsidR="001520EF" w:rsidRPr="00DD387B" w:rsidRDefault="001520EF" w:rsidP="001520EF">
      <w:pPr>
        <w:rPr>
          <w:rFonts w:asciiTheme="majorHAnsi" w:hAnsiTheme="majorHAnsi" w:cstheme="majorHAnsi"/>
          <w:sz w:val="24"/>
          <w:szCs w:val="24"/>
        </w:rPr>
      </w:pPr>
      <w:bookmarkStart w:id="1" w:name="_Hlk51857591"/>
      <w:r w:rsidRPr="00DD387B">
        <w:rPr>
          <w:rFonts w:asciiTheme="majorHAnsi" w:hAnsiTheme="majorHAnsi" w:cstheme="majorHAnsi"/>
          <w:sz w:val="24"/>
          <w:szCs w:val="24"/>
        </w:rPr>
        <w:t xml:space="preserve">Gällande lagens 7§: </w:t>
      </w:r>
      <w:r w:rsidR="00172197">
        <w:rPr>
          <w:rFonts w:asciiTheme="majorHAnsi" w:hAnsiTheme="majorHAnsi" w:cstheme="majorHAnsi"/>
          <w:sz w:val="24"/>
          <w:szCs w:val="24"/>
        </w:rPr>
        <w:t>VI</w:t>
      </w:r>
      <w:r w:rsidRPr="00DD387B">
        <w:rPr>
          <w:rFonts w:asciiTheme="majorHAnsi" w:hAnsiTheme="majorHAnsi" w:cstheme="majorHAnsi"/>
          <w:sz w:val="24"/>
          <w:szCs w:val="24"/>
        </w:rPr>
        <w:t xml:space="preserve"> föreslår att det måste finnas en person i det temporära organet som har ett uttalat ansvar för att se över svenskan. Annars kommer inte den svenska servicen att fungera och inte heller kommer det att finnas fungerande svenskspråkiga servicekedjor.</w:t>
      </w:r>
    </w:p>
    <w:p w:rsidR="001520EF" w:rsidRPr="00DD387B" w:rsidRDefault="001520EF" w:rsidP="001520EF">
      <w:pPr>
        <w:rPr>
          <w:rFonts w:asciiTheme="majorHAnsi" w:hAnsiTheme="majorHAnsi" w:cstheme="majorHAnsi"/>
          <w:sz w:val="24"/>
          <w:szCs w:val="24"/>
        </w:rPr>
      </w:pPr>
      <w:r w:rsidRPr="00DD387B">
        <w:rPr>
          <w:rFonts w:asciiTheme="majorHAnsi" w:hAnsiTheme="majorHAnsi" w:cstheme="majorHAnsi"/>
          <w:sz w:val="24"/>
          <w:szCs w:val="24"/>
        </w:rPr>
        <w:lastRenderedPageBreak/>
        <w:t xml:space="preserve">I övergångsarbetet bör personen ha en uttalad uppgift att se över svenska språket. Det är viktigt eftersom det är en förutsättning för att försäkra att svenskspråkiga aspekter omedelbart beaktas även under övergången. Vi vill framföra att det är viktigt att det finns ett uttryckligt ansvar för svenskaspråket även efter övergångsperioden. </w:t>
      </w:r>
    </w:p>
    <w:bookmarkEnd w:id="1"/>
    <w:p w:rsidR="001520EF" w:rsidRPr="00172197" w:rsidRDefault="001520EF" w:rsidP="001520EF">
      <w:pPr>
        <w:rPr>
          <w:rFonts w:asciiTheme="majorHAnsi" w:hAnsiTheme="majorHAnsi" w:cstheme="majorHAnsi"/>
          <w:b/>
          <w:bCs/>
          <w:sz w:val="24"/>
          <w:szCs w:val="24"/>
        </w:rPr>
      </w:pPr>
      <w:r w:rsidRPr="00172197">
        <w:rPr>
          <w:rFonts w:asciiTheme="majorHAnsi" w:hAnsiTheme="majorHAnsi" w:cstheme="majorHAnsi"/>
          <w:b/>
          <w:bCs/>
          <w:sz w:val="24"/>
          <w:szCs w:val="24"/>
        </w:rPr>
        <w:t>64. Tryggar Nylands speciallag ett jämlikt ordnande av social- och hälsovården i förhållande till övriga landet?</w:t>
      </w:r>
    </w:p>
    <w:p w:rsidR="001520EF" w:rsidRPr="00DD387B" w:rsidRDefault="00172197" w:rsidP="001520EF">
      <w:pPr>
        <w:rPr>
          <w:rFonts w:asciiTheme="majorHAnsi" w:hAnsiTheme="majorHAnsi" w:cstheme="majorHAnsi"/>
          <w:sz w:val="24"/>
          <w:szCs w:val="24"/>
        </w:rPr>
      </w:pPr>
      <w:r>
        <w:rPr>
          <w:rFonts w:asciiTheme="majorHAnsi" w:hAnsiTheme="majorHAnsi" w:cstheme="majorHAnsi"/>
          <w:sz w:val="24"/>
          <w:szCs w:val="24"/>
        </w:rPr>
        <w:t xml:space="preserve">Vi </w:t>
      </w:r>
      <w:r w:rsidR="001520EF" w:rsidRPr="00DD387B">
        <w:rPr>
          <w:rFonts w:asciiTheme="majorHAnsi" w:hAnsiTheme="majorHAnsi" w:cstheme="majorHAnsi"/>
          <w:sz w:val="24"/>
          <w:szCs w:val="24"/>
        </w:rPr>
        <w:t xml:space="preserve">anser att Nylands särlösning är motiverad med tanke på befolkningsunderlaget, vårdkapaciteten och HUS etablerade verksamhet. </w:t>
      </w:r>
    </w:p>
    <w:p w:rsidR="001520EF" w:rsidRPr="00172197" w:rsidRDefault="001520EF" w:rsidP="001520EF">
      <w:pPr>
        <w:rPr>
          <w:rFonts w:asciiTheme="majorHAnsi" w:hAnsiTheme="majorHAnsi" w:cstheme="majorHAnsi"/>
          <w:b/>
          <w:bCs/>
          <w:sz w:val="24"/>
          <w:szCs w:val="24"/>
        </w:rPr>
      </w:pPr>
      <w:r w:rsidRPr="00172197">
        <w:rPr>
          <w:rFonts w:asciiTheme="majorHAnsi" w:hAnsiTheme="majorHAnsi" w:cstheme="majorHAnsi"/>
          <w:b/>
          <w:bCs/>
          <w:sz w:val="24"/>
          <w:szCs w:val="24"/>
        </w:rPr>
        <w:t>79. I bedömningen av effekterna har propositionens centrala effekter beskrivits. Till vilken del borde bedömningen av effekterna korrigeras, preciseras eller kompletteras?</w:t>
      </w:r>
    </w:p>
    <w:p w:rsidR="001520EF" w:rsidRPr="00DD387B" w:rsidRDefault="00172197" w:rsidP="001520EF">
      <w:pPr>
        <w:rPr>
          <w:rFonts w:asciiTheme="majorHAnsi" w:hAnsiTheme="majorHAnsi" w:cstheme="majorHAnsi"/>
          <w:sz w:val="24"/>
          <w:szCs w:val="24"/>
        </w:rPr>
      </w:pPr>
      <w:r>
        <w:rPr>
          <w:rFonts w:asciiTheme="majorHAnsi" w:hAnsiTheme="majorHAnsi" w:cstheme="majorHAnsi"/>
          <w:sz w:val="24"/>
          <w:szCs w:val="24"/>
        </w:rPr>
        <w:t>Vi</w:t>
      </w:r>
      <w:r w:rsidR="001520EF" w:rsidRPr="00DD387B">
        <w:rPr>
          <w:rFonts w:asciiTheme="majorHAnsi" w:hAnsiTheme="majorHAnsi" w:cstheme="majorHAnsi"/>
          <w:sz w:val="24"/>
          <w:szCs w:val="24"/>
        </w:rPr>
        <w:t xml:space="preserve"> anser att man i större mån borde beakta FN:s konvention om rättigheterna för personer med funktionsnedsättning genomgående i hela social och hälsovårdsreformens proportion.</w:t>
      </w:r>
    </w:p>
    <w:p w:rsidR="001520EF" w:rsidRPr="00172197" w:rsidRDefault="001520EF" w:rsidP="00537A8D">
      <w:pPr>
        <w:pStyle w:val="Rubrik2"/>
        <w:rPr>
          <w:rFonts w:cstheme="majorHAnsi"/>
          <w:b/>
          <w:bCs/>
          <w:sz w:val="24"/>
          <w:szCs w:val="24"/>
        </w:rPr>
      </w:pPr>
      <w:r w:rsidRPr="00172197">
        <w:rPr>
          <w:rFonts w:cstheme="majorHAnsi"/>
          <w:b/>
          <w:bCs/>
          <w:sz w:val="24"/>
          <w:szCs w:val="24"/>
        </w:rPr>
        <w:t xml:space="preserve">89. Övriga fritt formulerade observationer om regeringens propositionsutkast. </w:t>
      </w:r>
    </w:p>
    <w:p w:rsidR="001520EF" w:rsidRPr="00DD387B" w:rsidRDefault="00172197" w:rsidP="001520EF">
      <w:pPr>
        <w:rPr>
          <w:rFonts w:asciiTheme="majorHAnsi" w:hAnsiTheme="majorHAnsi" w:cstheme="majorHAnsi"/>
          <w:sz w:val="24"/>
          <w:szCs w:val="24"/>
        </w:rPr>
      </w:pPr>
      <w:r>
        <w:rPr>
          <w:rFonts w:asciiTheme="majorHAnsi" w:hAnsiTheme="majorHAnsi" w:cstheme="majorHAnsi"/>
          <w:sz w:val="24"/>
          <w:szCs w:val="24"/>
        </w:rPr>
        <w:t>Vi</w:t>
      </w:r>
      <w:r w:rsidR="001520EF" w:rsidRPr="00DD387B">
        <w:rPr>
          <w:rFonts w:asciiTheme="majorHAnsi" w:hAnsiTheme="majorHAnsi" w:cstheme="majorHAnsi"/>
          <w:sz w:val="24"/>
          <w:szCs w:val="24"/>
        </w:rPr>
        <w:t xml:space="preserve"> anser att det behövs starkare strukturer för att trygga en god svenskspråkig service för hela den svensktalande befolkningen. Språknämnden i de tvåspråkiga vårdlandskapen bör ha tillräcklig makt och resurser. Genom att nämndens ordförande har en plats i vårdlanskapens styrelse kan man på ett trovärdigt sätt bättre försäkra att den svenspråkiga befolkningens behov och ärenden beaktas på ett kostnadseffektivt sätt. Utan en sådan ändring finns det en risk att svenskspråkig service glöms bort och i och med detta blir det dyrare att i efterhand försöka lappa gjorda misstag och strukturen med nationalspråksnämnder urvattnas.</w:t>
      </w:r>
    </w:p>
    <w:p w:rsidR="00B335FA" w:rsidRPr="00DD387B" w:rsidRDefault="00172197" w:rsidP="001520EF">
      <w:pPr>
        <w:rPr>
          <w:rFonts w:asciiTheme="majorHAnsi" w:hAnsiTheme="majorHAnsi" w:cstheme="majorHAnsi"/>
          <w:sz w:val="24"/>
          <w:szCs w:val="24"/>
        </w:rPr>
      </w:pPr>
      <w:r>
        <w:rPr>
          <w:rFonts w:asciiTheme="majorHAnsi" w:hAnsiTheme="majorHAnsi" w:cstheme="majorHAnsi"/>
          <w:sz w:val="24"/>
          <w:szCs w:val="24"/>
        </w:rPr>
        <w:t>Vi</w:t>
      </w:r>
      <w:r w:rsidR="001520EF" w:rsidRPr="00DD387B">
        <w:rPr>
          <w:rFonts w:asciiTheme="majorHAnsi" w:hAnsiTheme="majorHAnsi" w:cstheme="majorHAnsi"/>
          <w:sz w:val="24"/>
          <w:szCs w:val="24"/>
        </w:rPr>
        <w:t xml:space="preserve"> vill lyfta fram att de språkliga rättigheterna även i praktiken måste tryggas och inte enbart på beslutsfattarnivå. Det är viktigt att inte språkaspekten drunknar bland andra intressen. Därför är det viktigt att nationalspråksnämnden har verkligt inflytande i hur verksamheten ordnas och vem som anställs. Detta inflytande kan möjliggöras genom att delegera sektor- och budgetansvar till nämnderna. </w:t>
      </w:r>
      <w:r>
        <w:rPr>
          <w:rFonts w:asciiTheme="majorHAnsi" w:hAnsiTheme="majorHAnsi" w:cstheme="majorHAnsi"/>
          <w:sz w:val="24"/>
          <w:szCs w:val="24"/>
        </w:rPr>
        <w:t>Vi</w:t>
      </w:r>
      <w:r w:rsidR="001520EF" w:rsidRPr="00DD387B">
        <w:rPr>
          <w:rFonts w:asciiTheme="majorHAnsi" w:hAnsiTheme="majorHAnsi" w:cstheme="majorHAnsi"/>
          <w:sz w:val="24"/>
          <w:szCs w:val="24"/>
        </w:rPr>
        <w:t xml:space="preserve"> uppmanar att vårdlandskapen i sina förvaltningsstadgor delegerar sektor- och budgetansvar till nämnderna för att service på svenska tryggas. Även tillräckliga tjänstemannaresurser bör försäkras i motiveringarna till lagen.</w:t>
      </w:r>
    </w:p>
    <w:sectPr w:rsidR="00B335FA" w:rsidRPr="00DD3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EF"/>
    <w:rsid w:val="001520EF"/>
    <w:rsid w:val="00172197"/>
    <w:rsid w:val="00537A8D"/>
    <w:rsid w:val="00AB750C"/>
    <w:rsid w:val="00B335FA"/>
    <w:rsid w:val="00D10D85"/>
    <w:rsid w:val="00DD387B"/>
    <w:rsid w:val="00E3180B"/>
    <w:rsid w:val="00E849D8"/>
    <w:rsid w:val="00F26DA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602A"/>
  <w15:chartTrackingRefBased/>
  <w15:docId w15:val="{F6748281-3976-4D31-BCD8-7623FC20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37A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37A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3893</Words>
  <Characters>20639</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Ohlis</dc:creator>
  <cp:keywords/>
  <dc:description/>
  <cp:lastModifiedBy>Oscar Ohlis</cp:lastModifiedBy>
  <cp:revision>4</cp:revision>
  <dcterms:created xsi:type="dcterms:W3CDTF">2020-09-24T08:42:00Z</dcterms:created>
  <dcterms:modified xsi:type="dcterms:W3CDTF">2020-09-28T08:48:00Z</dcterms:modified>
</cp:coreProperties>
</file>